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7F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附件：</w:t>
      </w:r>
    </w:p>
    <w:p w14:paraId="64302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***项目征集方案模板</w:t>
      </w:r>
    </w:p>
    <w:p w14:paraId="289F5539">
      <w:pPr>
        <w:pStyle w:val="2"/>
        <w:rPr>
          <w:rFonts w:hint="eastAsia"/>
          <w:color w:val="auto"/>
          <w:lang w:eastAsia="zh-CN"/>
        </w:rPr>
      </w:pPr>
    </w:p>
    <w:tbl>
      <w:tblPr>
        <w:tblStyle w:val="6"/>
        <w:tblW w:w="865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135"/>
        <w:gridCol w:w="5808"/>
        <w:gridCol w:w="568"/>
        <w:gridCol w:w="569"/>
      </w:tblGrid>
      <w:tr w14:paraId="50F19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571" w:type="dxa"/>
            <w:vAlign w:val="top"/>
          </w:tcPr>
          <w:p w14:paraId="361BE9DA">
            <w:pPr>
              <w:spacing w:before="75" w:line="230" w:lineRule="auto"/>
              <w:ind w:left="88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35" w:type="dxa"/>
            <w:vAlign w:val="top"/>
          </w:tcPr>
          <w:p w14:paraId="5DDEC885">
            <w:pPr>
              <w:spacing w:before="109" w:line="228" w:lineRule="auto"/>
              <w:ind w:left="171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808" w:type="dxa"/>
            <w:vAlign w:val="top"/>
          </w:tcPr>
          <w:p w14:paraId="3019067F">
            <w:pPr>
              <w:spacing w:before="109" w:line="230" w:lineRule="auto"/>
              <w:ind w:left="2508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68" w:type="dxa"/>
            <w:vAlign w:val="top"/>
          </w:tcPr>
          <w:p w14:paraId="6FAA4A09">
            <w:pPr>
              <w:spacing w:before="76" w:line="228" w:lineRule="auto"/>
              <w:ind w:left="92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color w:val="auto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69" w:type="dxa"/>
            <w:vAlign w:val="top"/>
          </w:tcPr>
          <w:p w14:paraId="5238B0FB">
            <w:pPr>
              <w:spacing w:before="75" w:line="229" w:lineRule="auto"/>
              <w:ind w:left="91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color w:val="auto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</w:tr>
      <w:tr w14:paraId="5B985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 w:hRule="atLeast"/>
          <w:jc w:val="center"/>
        </w:trPr>
        <w:tc>
          <w:tcPr>
            <w:tcW w:w="571" w:type="dxa"/>
            <w:vAlign w:val="top"/>
          </w:tcPr>
          <w:p w14:paraId="67AD6FBA">
            <w:pPr>
              <w:spacing w:line="242" w:lineRule="auto"/>
              <w:rPr>
                <w:rFonts w:ascii="Arial"/>
                <w:color w:val="auto"/>
                <w:sz w:val="21"/>
              </w:rPr>
            </w:pPr>
          </w:p>
          <w:p w14:paraId="189ACBD5">
            <w:pPr>
              <w:spacing w:line="242" w:lineRule="auto"/>
              <w:rPr>
                <w:rFonts w:ascii="Arial"/>
                <w:color w:val="auto"/>
                <w:sz w:val="21"/>
              </w:rPr>
            </w:pPr>
          </w:p>
          <w:p w14:paraId="4C916087">
            <w:pPr>
              <w:spacing w:line="242" w:lineRule="auto"/>
              <w:rPr>
                <w:rFonts w:ascii="Arial"/>
                <w:color w:val="auto"/>
                <w:sz w:val="21"/>
              </w:rPr>
            </w:pPr>
          </w:p>
          <w:p w14:paraId="695A3ACF">
            <w:pPr>
              <w:spacing w:line="242" w:lineRule="auto"/>
              <w:rPr>
                <w:rFonts w:ascii="Arial"/>
                <w:color w:val="auto"/>
                <w:sz w:val="21"/>
              </w:rPr>
            </w:pPr>
          </w:p>
          <w:p w14:paraId="5FE2FA1F">
            <w:pPr>
              <w:spacing w:line="243" w:lineRule="auto"/>
              <w:rPr>
                <w:rFonts w:ascii="Arial"/>
                <w:color w:val="auto"/>
                <w:sz w:val="21"/>
              </w:rPr>
            </w:pPr>
          </w:p>
          <w:p w14:paraId="740CB671">
            <w:pPr>
              <w:spacing w:line="243" w:lineRule="auto"/>
              <w:rPr>
                <w:rFonts w:ascii="Arial"/>
                <w:color w:val="auto"/>
                <w:sz w:val="21"/>
              </w:rPr>
            </w:pPr>
          </w:p>
          <w:p w14:paraId="2B4AB46C">
            <w:pPr>
              <w:spacing w:before="62" w:line="191" w:lineRule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1</w:t>
            </w:r>
          </w:p>
        </w:tc>
        <w:tc>
          <w:tcPr>
            <w:tcW w:w="1135" w:type="dxa"/>
            <w:vAlign w:val="top"/>
          </w:tcPr>
          <w:p w14:paraId="60896A2C">
            <w:pPr>
              <w:rPr>
                <w:rFonts w:ascii="Arial"/>
                <w:color w:val="auto"/>
                <w:sz w:val="21"/>
              </w:rPr>
            </w:pPr>
          </w:p>
          <w:p w14:paraId="4BECF01B">
            <w:pPr>
              <w:rPr>
                <w:rFonts w:ascii="Arial"/>
                <w:color w:val="auto"/>
                <w:sz w:val="21"/>
              </w:rPr>
            </w:pPr>
          </w:p>
          <w:p w14:paraId="5374544B">
            <w:pPr>
              <w:rPr>
                <w:rFonts w:ascii="Arial"/>
                <w:color w:val="auto"/>
                <w:sz w:val="21"/>
              </w:rPr>
            </w:pPr>
          </w:p>
          <w:p w14:paraId="0CB52F33">
            <w:pPr>
              <w:rPr>
                <w:rFonts w:ascii="Arial"/>
                <w:color w:val="auto"/>
                <w:sz w:val="21"/>
              </w:rPr>
            </w:pPr>
          </w:p>
          <w:p w14:paraId="314F042B">
            <w:pPr>
              <w:rPr>
                <w:rFonts w:ascii="Arial"/>
                <w:color w:val="auto"/>
                <w:sz w:val="21"/>
              </w:rPr>
            </w:pPr>
          </w:p>
          <w:p w14:paraId="0EB820CF">
            <w:pPr>
              <w:rPr>
                <w:rFonts w:ascii="Arial"/>
                <w:color w:val="auto"/>
                <w:sz w:val="21"/>
              </w:rPr>
            </w:pPr>
          </w:p>
          <w:p w14:paraId="4A7938A6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color w:val="auto"/>
                <w:spacing w:val="5"/>
                <w:sz w:val="19"/>
                <w:szCs w:val="19"/>
              </w:rPr>
              <w:t>**产品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lang w:eastAsia="zh-CN"/>
              </w:rPr>
              <w:t>或服务项目</w:t>
            </w:r>
          </w:p>
        </w:tc>
        <w:tc>
          <w:tcPr>
            <w:tcW w:w="5808" w:type="dxa"/>
            <w:vAlign w:val="top"/>
          </w:tcPr>
          <w:p w14:paraId="14B99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技术要求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或服务内容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 xml:space="preserve"> (以下属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lang w:val="en-US" w:eastAsia="zh-CN"/>
              </w:rPr>
              <w:t>参考内容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)</w:t>
            </w:r>
          </w:p>
          <w:p w14:paraId="331C2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技术要求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是指对采购标的的功能和质量要求，包括性能、材料、结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构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、外观、安全，或者服务内容和标准等。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可以直接引用相关国家标准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、行业标准、 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地方标准等标准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、规范，也可以根据项目目标提出更高的技术要求。</w:t>
            </w:r>
          </w:p>
          <w:p w14:paraId="13F5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7" w:firstLine="51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清单中有进口仪器设备的，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需填写省财政厅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《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进口产品申请表》后逐级报批，并按省财政厅的相关规定组织专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</w:rPr>
              <w:t>家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论证。</w:t>
            </w:r>
          </w:p>
          <w:p w14:paraId="1E8F0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5" w:firstLine="521"/>
              <w:textAlignment w:val="auto"/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经论证通过的采购技术参数作为实施采购的依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据，申购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部门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相关人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不得修改。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若采购过程中确需调整，需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职能管理部门、资产管理处及分管院领导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审批。对于调整预算价值占比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大于30%的项目必须重新组织论证。</w:t>
            </w:r>
          </w:p>
          <w:p w14:paraId="1D075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8" w:right="2" w:firstLine="50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 xml:space="preserve">(法规内容) 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除单一来源采购项目外，技术要求不得指向特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定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8"/>
                <w:sz w:val="19"/>
                <w:szCs w:val="19"/>
              </w:rPr>
              <w:t>的专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利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、商标、品牌、技术路线等，提供技术参数需要三家及以上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厂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家满足，而非三家供应商。</w:t>
            </w:r>
          </w:p>
          <w:p w14:paraId="3B78C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240" w:lineRule="exact"/>
              <w:ind w:left="140"/>
              <w:textAlignment w:val="auto"/>
              <w:rPr>
                <w:rFonts w:ascii="MS Gothic" w:hAnsi="MS Gothic" w:eastAsia="MS Gothic" w:cs="MS Gothic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11"/>
                <w:position w:val="9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color w:val="auto"/>
                <w:spacing w:val="-6"/>
                <w:position w:val="9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6"/>
                <w:position w:val="9"/>
                <w:sz w:val="19"/>
                <w:szCs w:val="19"/>
              </w:rPr>
              <w:t>……</w:t>
            </w:r>
          </w:p>
          <w:p w14:paraId="034A5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8"/>
              <w:textAlignment w:val="auto"/>
              <w:rPr>
                <w:rFonts w:ascii="MS Gothic" w:hAnsi="MS Gothic" w:eastAsia="MS Gothic" w:cs="MS Gothic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7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color w:val="auto"/>
                <w:spacing w:val="-5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5"/>
                <w:sz w:val="19"/>
                <w:szCs w:val="19"/>
              </w:rPr>
              <w:t>……</w:t>
            </w:r>
          </w:p>
        </w:tc>
        <w:tc>
          <w:tcPr>
            <w:tcW w:w="568" w:type="dxa"/>
            <w:vAlign w:val="top"/>
          </w:tcPr>
          <w:p w14:paraId="30CBCA4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569" w:type="dxa"/>
            <w:vAlign w:val="top"/>
          </w:tcPr>
          <w:p w14:paraId="35B09E45">
            <w:pPr>
              <w:rPr>
                <w:rFonts w:ascii="Arial"/>
                <w:color w:val="auto"/>
                <w:sz w:val="21"/>
              </w:rPr>
            </w:pPr>
          </w:p>
        </w:tc>
      </w:tr>
      <w:tr w14:paraId="259F9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571" w:type="dxa"/>
            <w:vAlign w:val="top"/>
          </w:tcPr>
          <w:p w14:paraId="557CBE75">
            <w:pPr>
              <w:spacing w:before="88" w:line="190" w:lineRule="auto"/>
              <w:ind w:left="240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2</w:t>
            </w:r>
          </w:p>
        </w:tc>
        <w:tc>
          <w:tcPr>
            <w:tcW w:w="1135" w:type="dxa"/>
            <w:vAlign w:val="top"/>
          </w:tcPr>
          <w:p w14:paraId="7D661E20">
            <w:pPr>
              <w:spacing w:before="54" w:line="233" w:lineRule="auto"/>
              <w:ind w:left="483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83"/>
                <w:sz w:val="19"/>
                <w:szCs w:val="19"/>
              </w:rPr>
              <w:t>„</w:t>
            </w:r>
          </w:p>
        </w:tc>
        <w:tc>
          <w:tcPr>
            <w:tcW w:w="5808" w:type="dxa"/>
            <w:vAlign w:val="top"/>
          </w:tcPr>
          <w:p w14:paraId="7AC5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ind w:left="2728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19"/>
                <w:szCs w:val="19"/>
              </w:rPr>
              <w:t>同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</w:rPr>
              <w:t>上</w:t>
            </w:r>
          </w:p>
        </w:tc>
        <w:tc>
          <w:tcPr>
            <w:tcW w:w="568" w:type="dxa"/>
            <w:vAlign w:val="top"/>
          </w:tcPr>
          <w:p w14:paraId="645F919A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569" w:type="dxa"/>
            <w:vAlign w:val="top"/>
          </w:tcPr>
          <w:p w14:paraId="371678AA">
            <w:pPr>
              <w:rPr>
                <w:rFonts w:ascii="Arial"/>
                <w:color w:val="auto"/>
                <w:sz w:val="21"/>
              </w:rPr>
            </w:pPr>
          </w:p>
        </w:tc>
      </w:tr>
      <w:tr w14:paraId="1C4DA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4" w:hRule="atLeast"/>
          <w:jc w:val="center"/>
        </w:trPr>
        <w:tc>
          <w:tcPr>
            <w:tcW w:w="571" w:type="dxa"/>
            <w:vAlign w:val="top"/>
          </w:tcPr>
          <w:p w14:paraId="2FF14B5E">
            <w:pPr>
              <w:spacing w:line="256" w:lineRule="auto"/>
              <w:rPr>
                <w:rFonts w:ascii="Arial"/>
                <w:color w:val="auto"/>
                <w:sz w:val="21"/>
              </w:rPr>
            </w:pPr>
          </w:p>
          <w:p w14:paraId="14CCDD9A">
            <w:pPr>
              <w:spacing w:line="256" w:lineRule="auto"/>
              <w:rPr>
                <w:rFonts w:ascii="Arial"/>
                <w:color w:val="auto"/>
                <w:sz w:val="21"/>
              </w:rPr>
            </w:pPr>
          </w:p>
          <w:p w14:paraId="1C73B77D">
            <w:pPr>
              <w:spacing w:line="256" w:lineRule="auto"/>
              <w:rPr>
                <w:rFonts w:ascii="Arial"/>
                <w:color w:val="auto"/>
                <w:sz w:val="21"/>
              </w:rPr>
            </w:pPr>
          </w:p>
          <w:p w14:paraId="523FF56F">
            <w:pPr>
              <w:spacing w:line="257" w:lineRule="auto"/>
              <w:rPr>
                <w:rFonts w:ascii="Arial"/>
                <w:color w:val="auto"/>
                <w:sz w:val="21"/>
              </w:rPr>
            </w:pPr>
          </w:p>
          <w:p w14:paraId="1BBEB512">
            <w:pPr>
              <w:spacing w:line="257" w:lineRule="auto"/>
              <w:rPr>
                <w:rFonts w:ascii="Arial"/>
                <w:color w:val="auto"/>
                <w:sz w:val="21"/>
              </w:rPr>
            </w:pPr>
          </w:p>
          <w:p w14:paraId="17E70117">
            <w:pPr>
              <w:spacing w:line="257" w:lineRule="auto"/>
              <w:rPr>
                <w:rFonts w:ascii="Arial"/>
                <w:color w:val="auto"/>
                <w:sz w:val="21"/>
              </w:rPr>
            </w:pPr>
          </w:p>
          <w:p w14:paraId="3DCDE4DB">
            <w:pPr>
              <w:spacing w:line="257" w:lineRule="auto"/>
              <w:rPr>
                <w:rFonts w:ascii="Arial"/>
                <w:color w:val="auto"/>
                <w:sz w:val="21"/>
              </w:rPr>
            </w:pPr>
          </w:p>
          <w:p w14:paraId="60DDE42D">
            <w:pPr>
              <w:spacing w:line="257" w:lineRule="auto"/>
              <w:rPr>
                <w:rFonts w:ascii="Arial"/>
                <w:color w:val="auto"/>
                <w:sz w:val="21"/>
              </w:rPr>
            </w:pPr>
          </w:p>
          <w:p w14:paraId="58805046">
            <w:pPr>
              <w:spacing w:line="257" w:lineRule="auto"/>
              <w:rPr>
                <w:rFonts w:ascii="Arial"/>
                <w:color w:val="auto"/>
                <w:sz w:val="21"/>
              </w:rPr>
            </w:pPr>
          </w:p>
          <w:p w14:paraId="5FC3E584">
            <w:pPr>
              <w:spacing w:line="257" w:lineRule="auto"/>
              <w:rPr>
                <w:rFonts w:ascii="Arial"/>
                <w:color w:val="auto"/>
                <w:sz w:val="21"/>
              </w:rPr>
            </w:pPr>
          </w:p>
          <w:p w14:paraId="15736EAC">
            <w:pPr>
              <w:spacing w:before="62" w:line="189" w:lineRule="auto"/>
              <w:ind w:left="241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3</w:t>
            </w:r>
          </w:p>
        </w:tc>
        <w:tc>
          <w:tcPr>
            <w:tcW w:w="1135" w:type="dxa"/>
            <w:vAlign w:val="top"/>
          </w:tcPr>
          <w:p w14:paraId="3D814681"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 w14:paraId="7DF63347"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 w14:paraId="572AAD9D"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 w14:paraId="6F2A6E43"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 w14:paraId="025938AC"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 w14:paraId="4BD583BA"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 w14:paraId="5154E76C">
            <w:pPr>
              <w:spacing w:line="254" w:lineRule="auto"/>
              <w:rPr>
                <w:rFonts w:ascii="Arial"/>
                <w:color w:val="auto"/>
                <w:sz w:val="21"/>
              </w:rPr>
            </w:pPr>
          </w:p>
          <w:p w14:paraId="1B09F145">
            <w:pPr>
              <w:spacing w:line="254" w:lineRule="auto"/>
              <w:rPr>
                <w:rFonts w:ascii="Arial"/>
                <w:color w:val="auto"/>
                <w:sz w:val="21"/>
              </w:rPr>
            </w:pPr>
          </w:p>
          <w:p w14:paraId="21856091">
            <w:pPr>
              <w:spacing w:line="254" w:lineRule="auto"/>
              <w:rPr>
                <w:rFonts w:ascii="Arial"/>
                <w:color w:val="auto"/>
                <w:sz w:val="21"/>
              </w:rPr>
            </w:pPr>
          </w:p>
          <w:p w14:paraId="7FF20F46">
            <w:pPr>
              <w:spacing w:line="254" w:lineRule="auto"/>
              <w:rPr>
                <w:rFonts w:ascii="Arial"/>
                <w:color w:val="auto"/>
                <w:sz w:val="21"/>
              </w:rPr>
            </w:pPr>
          </w:p>
          <w:p w14:paraId="54271831">
            <w:pPr>
              <w:spacing w:before="62" w:line="228" w:lineRule="auto"/>
              <w:ind w:left="174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商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务要求</w:t>
            </w:r>
          </w:p>
        </w:tc>
        <w:tc>
          <w:tcPr>
            <w:tcW w:w="5808" w:type="dxa"/>
            <w:vAlign w:val="top"/>
          </w:tcPr>
          <w:p w14:paraId="1E325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二、商务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要求：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 xml:space="preserve">   (以下属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lang w:val="en-US" w:eastAsia="zh-CN"/>
              </w:rPr>
              <w:t>参考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内容)</w:t>
            </w:r>
          </w:p>
          <w:p w14:paraId="1CCF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"/>
                <w:sz w:val="19"/>
                <w:szCs w:val="19"/>
              </w:rPr>
              <w:t>商务要求是指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取得采购标的的时间、地点、财务和服务要求， 包括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交付(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实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施)的时间(期限)和地点(范围),付款条件(进度和方式)，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包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装和运输，售后服务，保险等。</w:t>
            </w:r>
          </w:p>
          <w:p w14:paraId="0DCD1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1.免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color w:val="auto"/>
                <w:spacing w:val="5"/>
                <w:sz w:val="19"/>
                <w:szCs w:val="19"/>
              </w:rPr>
              <w:t>质保期： 必须提供所响应设备通过最终验收合格、签署验收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  <w:t>合格证书并办理移交手续之日起？个月的免费质量保证期， 在免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质量保证期内实行“三包”服务。</w:t>
            </w:r>
          </w:p>
          <w:p w14:paraId="4F883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" w:firstLine="3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2.付款方式：中标(成</w:t>
            </w:r>
            <w:r>
              <w:rPr>
                <w:rFonts w:ascii="宋体" w:hAnsi="宋体" w:eastAsia="宋体" w:cs="宋体"/>
                <w:color w:val="auto"/>
                <w:spacing w:val="2"/>
                <w:sz w:val="19"/>
                <w:szCs w:val="19"/>
              </w:rPr>
              <w:t>交) 通知书发出之日起30 天以内， 供应商应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向采购人交付合同总价款的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-10%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(工程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%)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"/>
                <w:sz w:val="19"/>
                <w:szCs w:val="19"/>
              </w:rPr>
              <w:t>作为履约保证金。项目质</w:t>
            </w:r>
            <w:r>
              <w:rPr>
                <w:rFonts w:ascii="宋体" w:hAnsi="宋体" w:eastAsia="宋体" w:cs="宋体"/>
                <w:color w:val="auto"/>
                <w:spacing w:val="18"/>
                <w:sz w:val="19"/>
                <w:szCs w:val="19"/>
              </w:rPr>
              <w:t>保期</w:t>
            </w:r>
            <w:r>
              <w:rPr>
                <w:rFonts w:ascii="宋体" w:hAnsi="宋体" w:eastAsia="宋体" w:cs="宋体"/>
                <w:color w:val="auto"/>
                <w:spacing w:val="13"/>
                <w:sz w:val="19"/>
                <w:szCs w:val="19"/>
              </w:rPr>
              <w:t>结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束后，在质量无问题及售后服务无瑕疵的情况下，采购人根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1"/>
                <w:sz w:val="19"/>
                <w:szCs w:val="19"/>
              </w:rPr>
              <w:t>据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中标人申请报告一次性全额无息退还履约保证金。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            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.供货及安装地点：？？</w:t>
            </w:r>
          </w:p>
          <w:p w14:paraId="1822B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  <w:t>4.供货及安装期限：合同签订生效后？个工作日完成安装调试并 交付使用。</w:t>
            </w:r>
          </w:p>
          <w:p w14:paraId="526D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  <w:t>5.培训要求： ？？</w:t>
            </w:r>
          </w:p>
          <w:p w14:paraId="47356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  <w:t>6.其他售后服务条款：</w:t>
            </w:r>
          </w:p>
        </w:tc>
        <w:tc>
          <w:tcPr>
            <w:tcW w:w="568" w:type="dxa"/>
            <w:vAlign w:val="top"/>
          </w:tcPr>
          <w:p w14:paraId="46F0539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569" w:type="dxa"/>
            <w:vAlign w:val="top"/>
          </w:tcPr>
          <w:p w14:paraId="45370B3A">
            <w:pPr>
              <w:rPr>
                <w:rFonts w:ascii="Arial"/>
                <w:color w:val="auto"/>
                <w:sz w:val="21"/>
              </w:rPr>
            </w:pPr>
          </w:p>
        </w:tc>
      </w:tr>
    </w:tbl>
    <w:p w14:paraId="42A6923E">
      <w:pPr>
        <w:spacing w:before="109" w:line="228" w:lineRule="auto"/>
        <w:rPr>
          <w:rFonts w:hint="eastAsia" w:ascii="宋体" w:hAnsi="宋体" w:eastAsia="宋体" w:cs="宋体"/>
          <w:color w:val="auto"/>
          <w:spacing w:val="9"/>
          <w:sz w:val="19"/>
          <w:szCs w:val="19"/>
          <w:lang w:val="en-US" w:eastAsia="zh-CN"/>
          <w14:textOutline w14:w="361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4B65D1A5">
      <w:pPr>
        <w:spacing w:before="109" w:line="228" w:lineRule="auto"/>
        <w:rPr>
          <w:rFonts w:hint="eastAsia" w:ascii="宋体" w:hAnsi="宋体" w:eastAsia="宋体" w:cs="宋体"/>
          <w:color w:val="auto"/>
          <w:spacing w:val="9"/>
          <w:sz w:val="19"/>
          <w:szCs w:val="19"/>
          <w:lang w:val="en-US" w:eastAsia="zh-CN"/>
          <w14:textOutline w14:w="361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color w:val="auto"/>
          <w:spacing w:val="9"/>
          <w:sz w:val="19"/>
          <w:szCs w:val="19"/>
          <w:lang w:val="en-US" w:eastAsia="zh-CN"/>
          <w14:textOutline w14:w="3614" w14:cap="flat" w14:cmpd="sng">
            <w14:solidFill>
              <w14:srgbClr w14:val="000000"/>
            </w14:solidFill>
            <w14:prstDash w14:val="solid"/>
            <w14:miter w14:val="0"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6160135</wp:posOffset>
                </wp:positionV>
                <wp:extent cx="5284470" cy="94361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32560" y="9566275"/>
                          <a:ext cx="5284470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61BC2">
                            <w:pPr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3.55pt;margin-top:485.05pt;height:74.3pt;width:416.1pt;z-index:251659264;v-text-anchor:middle;mso-width-relative:page;mso-height-relative:page;" filled="f" stroked="f" coordsize="21600,21600" o:gfxdata="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qvhL+2AAAAAwBAAAPAAAAAAAAAAEAIAAAACIAAABkcnMvZG93bnJldi54&#10;bWxQSwECFAAUAAAACACHTuJAYgtOwmwCAAC5BAAADgAAAAAAAAABACAAAAAnAQAAZHJzL2Uyb0Rv&#10;Yy54bWxQSwUGAAAAAAYABgBZAQAABQY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4761BC2">
                      <w:pPr>
                        <w:rPr>
                          <w:rFonts w:ascii="宋体" w:hAnsi="宋体" w:eastAsia="宋体" w:cs="宋体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spacing w:val="9"/>
          <w:sz w:val="19"/>
          <w:szCs w:val="19"/>
          <w:lang w:val="en-US" w:eastAsia="zh-CN"/>
          <w14:textOutline w14:w="3614" w14:cap="flat" w14:cmpd="sng">
            <w14:solidFill>
              <w14:srgbClr w14:val="000000"/>
            </w14:solidFill>
            <w14:prstDash w14:val="solid"/>
            <w14:miter w14:val="0"/>
          </w14:textOutline>
        </w:rPr>
        <w:t>评分标准</w:t>
      </w:r>
    </w:p>
    <w:p w14:paraId="4EB5D081">
      <w:pPr>
        <w:pStyle w:val="7"/>
        <w:ind w:firstLine="0" w:firstLineChars="0"/>
        <w:rPr>
          <w:rFonts w:hint="default" w:ascii="宋体" w:hAnsi="宋体" w:eastAsia="宋体" w:cs="宋体"/>
          <w:color w:val="auto"/>
          <w:spacing w:val="5"/>
          <w:kern w:val="2"/>
          <w:sz w:val="19"/>
          <w:szCs w:val="19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5"/>
          <w:kern w:val="2"/>
          <w:sz w:val="19"/>
          <w:szCs w:val="19"/>
          <w:lang w:val="en-US" w:eastAsia="zh-CN" w:bidi="ar-SA"/>
        </w:rPr>
        <w:t>1、价格评审（？分）</w:t>
      </w: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6686"/>
        <w:gridCol w:w="852"/>
      </w:tblGrid>
      <w:tr w14:paraId="702E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46" w:type="dxa"/>
            <w:vAlign w:val="center"/>
          </w:tcPr>
          <w:p w14:paraId="24F75D91">
            <w:pPr>
              <w:spacing w:before="62" w:line="228" w:lineRule="auto"/>
              <w:jc w:val="center"/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评审项</w:t>
            </w:r>
          </w:p>
        </w:tc>
        <w:tc>
          <w:tcPr>
            <w:tcW w:w="6686" w:type="dxa"/>
            <w:vAlign w:val="center"/>
          </w:tcPr>
          <w:p w14:paraId="5A4EBED6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评审内容细则</w:t>
            </w:r>
          </w:p>
        </w:tc>
        <w:tc>
          <w:tcPr>
            <w:tcW w:w="852" w:type="dxa"/>
            <w:vAlign w:val="center"/>
          </w:tcPr>
          <w:p w14:paraId="71FFEDF1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分</w:t>
            </w:r>
            <w:bookmarkStart w:id="0" w:name="OLE_LINK9"/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值</w:t>
            </w:r>
            <w:bookmarkEnd w:id="0"/>
          </w:p>
        </w:tc>
      </w:tr>
      <w:tr w14:paraId="7A1B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46" w:type="dxa"/>
            <w:vAlign w:val="center"/>
          </w:tcPr>
          <w:p w14:paraId="605888F8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lang w:val="en-US" w:eastAsia="zh-CN"/>
              </w:rPr>
              <w:t>价格分</w:t>
            </w:r>
          </w:p>
          <w:p w14:paraId="48480C51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lang w:val="en-US" w:eastAsia="zh-CN"/>
              </w:rPr>
              <w:t>（？分）</w:t>
            </w:r>
          </w:p>
        </w:tc>
        <w:tc>
          <w:tcPr>
            <w:tcW w:w="6686" w:type="dxa"/>
            <w:vAlign w:val="center"/>
          </w:tcPr>
          <w:p w14:paraId="49BE2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lang w:val="en-US" w:eastAsia="zh-CN"/>
              </w:rPr>
              <w:t>采用低价优先法，即满足磋商文件要求且响应价格最低的服务商的价格为评审基准价，其价格分为满分。其他服务商的价格分统一按照下列公式计算：响应报价得分=（评审基准价/响应报价）×？，计算结果保留小数点后两位。</w:t>
            </w:r>
          </w:p>
        </w:tc>
        <w:tc>
          <w:tcPr>
            <w:tcW w:w="852" w:type="dxa"/>
            <w:vAlign w:val="center"/>
          </w:tcPr>
          <w:p w14:paraId="156264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？分</w:t>
            </w:r>
          </w:p>
        </w:tc>
      </w:tr>
    </w:tbl>
    <w:p w14:paraId="44CF8B5D">
      <w:pPr>
        <w:pStyle w:val="7"/>
        <w:ind w:firstLine="0" w:firstLineChars="0"/>
        <w:rPr>
          <w:rFonts w:hint="eastAsia" w:ascii="宋体" w:hAnsi="宋体" w:eastAsia="宋体" w:cs="宋体"/>
          <w:color w:val="auto"/>
          <w:spacing w:val="5"/>
          <w:kern w:val="2"/>
          <w:sz w:val="19"/>
          <w:szCs w:val="19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5"/>
          <w:kern w:val="2"/>
          <w:sz w:val="19"/>
          <w:szCs w:val="19"/>
          <w:lang w:val="en-US" w:eastAsia="zh-CN" w:bidi="ar-SA"/>
        </w:rPr>
        <w:t>2、技术评审（？分）</w:t>
      </w:r>
    </w:p>
    <w:tbl>
      <w:tblPr>
        <w:tblStyle w:val="3"/>
        <w:tblW w:w="8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6753"/>
        <w:gridCol w:w="819"/>
      </w:tblGrid>
      <w:tr w14:paraId="02FE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35" w:type="dxa"/>
            <w:vAlign w:val="center"/>
          </w:tcPr>
          <w:p w14:paraId="5D45CD9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评分项</w:t>
            </w:r>
          </w:p>
        </w:tc>
        <w:tc>
          <w:tcPr>
            <w:tcW w:w="6753" w:type="dxa"/>
            <w:vAlign w:val="center"/>
          </w:tcPr>
          <w:p w14:paraId="7415F07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评审内容</w:t>
            </w:r>
          </w:p>
        </w:tc>
        <w:tc>
          <w:tcPr>
            <w:tcW w:w="819" w:type="dxa"/>
            <w:vAlign w:val="center"/>
          </w:tcPr>
          <w:p w14:paraId="6B0CE29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分值</w:t>
            </w:r>
          </w:p>
        </w:tc>
      </w:tr>
      <w:tr w14:paraId="3AE3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35" w:type="dxa"/>
            <w:vAlign w:val="center"/>
          </w:tcPr>
          <w:p w14:paraId="2E919A3D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lang w:val="en-US" w:eastAsia="zh-CN"/>
              </w:rPr>
              <w:t>技术要求</w:t>
            </w:r>
          </w:p>
        </w:tc>
        <w:tc>
          <w:tcPr>
            <w:tcW w:w="6753" w:type="dxa"/>
          </w:tcPr>
          <w:p w14:paraId="37D51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lang w:val="en-US" w:eastAsia="zh-CN"/>
              </w:rPr>
              <w:t>服务商完全响应磋商文件“第三章项目采购需求”第一项，所有服务要求内容，任一条款或要求负偏离或不响应，视为无效响应。</w:t>
            </w:r>
          </w:p>
          <w:p w14:paraId="4F517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lang w:val="en-US" w:eastAsia="zh-CN"/>
              </w:rPr>
              <w:t>【评审依据：技术响应偏离说明表】</w:t>
            </w:r>
          </w:p>
        </w:tc>
        <w:tc>
          <w:tcPr>
            <w:tcW w:w="819" w:type="dxa"/>
            <w:vAlign w:val="center"/>
          </w:tcPr>
          <w:p w14:paraId="67C755F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/</w:t>
            </w:r>
          </w:p>
        </w:tc>
      </w:tr>
      <w:tr w14:paraId="3265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7732748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53" w:type="dxa"/>
            <w:shd w:val="clear" w:color="auto" w:fill="auto"/>
            <w:vAlign w:val="center"/>
          </w:tcPr>
          <w:p w14:paraId="103416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14:paraId="6391CED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2A70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 w14:paraId="2689EA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53" w:type="dxa"/>
            <w:shd w:val="clear" w:color="auto" w:fill="auto"/>
            <w:vAlign w:val="center"/>
          </w:tcPr>
          <w:p w14:paraId="6C3B8FC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14:paraId="786A50C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</w:tbl>
    <w:p w14:paraId="296DF1A5">
      <w:pPr>
        <w:pStyle w:val="7"/>
        <w:ind w:firstLine="0" w:firstLineChars="0"/>
        <w:rPr>
          <w:rFonts w:hint="eastAsia" w:ascii="宋体" w:hAnsi="宋体" w:eastAsia="宋体" w:cs="宋体"/>
          <w:color w:val="auto"/>
          <w:spacing w:val="5"/>
          <w:kern w:val="2"/>
          <w:sz w:val="19"/>
          <w:szCs w:val="19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5"/>
          <w:kern w:val="2"/>
          <w:sz w:val="19"/>
          <w:szCs w:val="19"/>
          <w:lang w:val="en-US" w:eastAsia="zh-CN" w:bidi="ar-SA"/>
        </w:rPr>
        <w:t>3、商务评审（？分）</w:t>
      </w:r>
    </w:p>
    <w:tbl>
      <w:tblPr>
        <w:tblStyle w:val="3"/>
        <w:tblW w:w="8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6745"/>
        <w:gridCol w:w="819"/>
      </w:tblGrid>
      <w:tr w14:paraId="13598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135" w:type="dxa"/>
            <w:vAlign w:val="center"/>
          </w:tcPr>
          <w:p w14:paraId="329EF6E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评分项</w:t>
            </w:r>
          </w:p>
        </w:tc>
        <w:tc>
          <w:tcPr>
            <w:tcW w:w="6745" w:type="dxa"/>
            <w:vAlign w:val="center"/>
          </w:tcPr>
          <w:p w14:paraId="4CF067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评审内容</w:t>
            </w:r>
          </w:p>
        </w:tc>
        <w:tc>
          <w:tcPr>
            <w:tcW w:w="819" w:type="dxa"/>
            <w:vAlign w:val="center"/>
          </w:tcPr>
          <w:p w14:paraId="66C155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分值</w:t>
            </w:r>
          </w:p>
        </w:tc>
      </w:tr>
      <w:tr w14:paraId="4D46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9" w:hRule="atLeast"/>
          <w:jc w:val="center"/>
        </w:trPr>
        <w:tc>
          <w:tcPr>
            <w:tcW w:w="1135" w:type="dxa"/>
            <w:vAlign w:val="center"/>
          </w:tcPr>
          <w:p w14:paraId="27523ACF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lang w:val="en-US" w:eastAsia="zh-CN"/>
              </w:rPr>
              <w:t>商务要求</w:t>
            </w:r>
          </w:p>
        </w:tc>
        <w:tc>
          <w:tcPr>
            <w:tcW w:w="6745" w:type="dxa"/>
          </w:tcPr>
          <w:p w14:paraId="5D3DF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lang w:val="en-US" w:eastAsia="zh-CN"/>
              </w:rPr>
              <w:t>服务商完全响应磋商文件“第三章项目采购需求”第二项所有要求内容，任一条款或要求负偏离或不响应，视为无效响应。</w:t>
            </w:r>
          </w:p>
          <w:p w14:paraId="08D1E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lang w:val="en-US" w:eastAsia="zh-CN"/>
              </w:rPr>
              <w:t>【评审依据：商务响应偏离说明表】</w:t>
            </w:r>
          </w:p>
        </w:tc>
        <w:tc>
          <w:tcPr>
            <w:tcW w:w="819" w:type="dxa"/>
            <w:vAlign w:val="center"/>
          </w:tcPr>
          <w:p w14:paraId="7535A28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  <w:t>/</w:t>
            </w:r>
          </w:p>
        </w:tc>
      </w:tr>
      <w:tr w14:paraId="78556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135" w:type="dxa"/>
            <w:vAlign w:val="center"/>
          </w:tcPr>
          <w:p w14:paraId="2AD66C3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45" w:type="dxa"/>
          </w:tcPr>
          <w:p w14:paraId="6D80DD5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0A61956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5D183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135" w:type="dxa"/>
            <w:vAlign w:val="center"/>
          </w:tcPr>
          <w:p w14:paraId="2991C6A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6745" w:type="dxa"/>
          </w:tcPr>
          <w:p w14:paraId="03E562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 w14:paraId="7C15ECC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</w:tbl>
    <w:p w14:paraId="5B5BCD56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6E8A6A7-CC04-4143-83F2-3F142077EEA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387453F-A3D6-4235-A8BE-80FC67E3787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D27C436-C5A0-46A6-94D3-283D848B02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4" w:fontKey="{37A0514E-9FED-4D3F-AE7D-01A6814CA7CC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MTIxMzBmMzE4YWExNzQzMmI5MzczZjRkMTMxZDgifQ=="/>
  </w:docVars>
  <w:rsids>
    <w:rsidRoot w:val="295E2B63"/>
    <w:rsid w:val="0039385A"/>
    <w:rsid w:val="01542DFE"/>
    <w:rsid w:val="04F35535"/>
    <w:rsid w:val="06E44477"/>
    <w:rsid w:val="094C3466"/>
    <w:rsid w:val="098665FC"/>
    <w:rsid w:val="0C343431"/>
    <w:rsid w:val="195919B3"/>
    <w:rsid w:val="1D0936F0"/>
    <w:rsid w:val="1D1E53EE"/>
    <w:rsid w:val="1D962818"/>
    <w:rsid w:val="25407ECB"/>
    <w:rsid w:val="294855A0"/>
    <w:rsid w:val="295E2B63"/>
    <w:rsid w:val="29BF15D5"/>
    <w:rsid w:val="2DB31B82"/>
    <w:rsid w:val="312B1A2F"/>
    <w:rsid w:val="32184A1D"/>
    <w:rsid w:val="3C230512"/>
    <w:rsid w:val="3DF94326"/>
    <w:rsid w:val="4056408A"/>
    <w:rsid w:val="45FE72BB"/>
    <w:rsid w:val="4B513F14"/>
    <w:rsid w:val="506E1504"/>
    <w:rsid w:val="52854C4C"/>
    <w:rsid w:val="5B0D3DD0"/>
    <w:rsid w:val="5D5757D7"/>
    <w:rsid w:val="5EDA221B"/>
    <w:rsid w:val="60DD5FF3"/>
    <w:rsid w:val="62BE57A5"/>
    <w:rsid w:val="6C585E4D"/>
    <w:rsid w:val="6D2E7F51"/>
    <w:rsid w:val="71AA1F21"/>
    <w:rsid w:val="72447549"/>
    <w:rsid w:val="7944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正文格式"/>
    <w:basedOn w:val="1"/>
    <w:autoRedefine/>
    <w:qFormat/>
    <w:uiPriority w:val="0"/>
    <w:pPr>
      <w:spacing w:after="0" w:line="360" w:lineRule="auto"/>
      <w:ind w:firstLine="200" w:firstLineChars="200"/>
    </w:pPr>
    <w:rPr>
      <w:rFonts w:hint="eastAsia" w:ascii="宋体" w:hAnsi="宋体" w:eastAsia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2859</Words>
  <Characters>2973</Characters>
  <Lines>0</Lines>
  <Paragraphs>0</Paragraphs>
  <TotalTime>17</TotalTime>
  <ScaleCrop>false</ScaleCrop>
  <LinksUpToDate>false</LinksUpToDate>
  <CharactersWithSpaces>3018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2025-03-19T01:30:00Z</dcterms:created>
  <dc:creator>jxgm</dc:creator>
  <cp:lastModifiedBy>林海菁</cp:lastModifiedBy>
  <dcterms:modified xsi:type="dcterms:W3CDTF">2026-07-29T07:12:34Z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D1EBAFA6EE49405A90C40AC6E7F2FE99_13</vt:lpwstr>
  </property>
  <property fmtid="{D5CDD505-2E9C-101B-9397-08002B2CF9AE}" pid="4" name="KSOTemplateDocerSaveRecord">
    <vt:lpwstr>eyJoZGlkIjoiZGMyYmM4Y2MyYWU3OTI4ZjBiOGMzZDczYWZkNGVjZWQiLCJ1c2VySWQiOiIxNTUzMTM0MzYxIn0=</vt:lpwstr>
  </property>
</Properties>
</file>